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body>
    <w:p>
      <w:pPr>
        <w:spacing w:before="18" w:after="0" w:line="219" w:lineRule="exact"/>
        <w:ind w:right="0" w:left="0" w:firstLine="0"/>
        <w:jc w:val="left"/>
        <w:textAlignment w:val="baseline"/>
        <w:rPr>
          <w:rFonts w:ascii="Verdana" w:hAnsi="Verdana" w:eastAsia="Verdana"/>
          <w:color w:val="000000"/>
          <w:spacing w:val="4"/>
          <w:w w:val="100"/>
          <w:sz w:val="17"/>
          <w:vertAlign w:val="baseline"/>
          <w:lang w:val="fr-FR"/>
        </w:rPr>
      </w:pPr>
      <w:r>
        <w:rPr>
          <w:rFonts w:ascii="Verdana" w:hAnsi="Verdana" w:eastAsia="Verdana"/>
          <w:color w:val="000000"/>
          <w:spacing w:val="4"/>
          <w:w w:val="100"/>
          <w:sz w:val="17"/>
          <w:vertAlign w:val="baseline"/>
          <w:lang w:val="fr-FR"/>
        </w:rPr>
        <w:t xml:space="preserve">restauration n'est envisagée à court terme.</w:t>
      </w:r>
    </w:p>
    <w:p>
      <w:pPr>
        <w:spacing w:before="2" w:after="0" w:line="219" w:lineRule="exact"/>
        <w:ind w:right="0" w:left="0" w:firstLine="0"/>
        <w:jc w:val="left"/>
        <w:textAlignment w:val="baseline"/>
        <w:rPr>
          <w:rFonts w:ascii="Verdana" w:hAnsi="Verdana" w:eastAsia="Verdana"/>
          <w:b w:val="true"/>
          <w:color w:val="000000"/>
          <w:spacing w:val="4"/>
          <w:w w:val="100"/>
          <w:sz w:val="17"/>
          <w:vertAlign w:val="baseline"/>
          <w:lang w:val="fr-FR"/>
        </w:rPr>
      </w:pPr>
      <w:r>
        <w:rPr>
          <w:rFonts w:ascii="Verdana" w:hAnsi="Verdana" w:eastAsia="Verdana"/>
          <w:b w:val="true"/>
          <w:color w:val="000000"/>
          <w:spacing w:val="4"/>
          <w:w w:val="100"/>
          <w:sz w:val="17"/>
          <w:vertAlign w:val="baseline"/>
          <w:lang w:val="fr-FR"/>
        </w:rPr>
        <w:t xml:space="preserve">Inscription : </w:t>
      </w:r>
      <w:r>
        <w:rPr>
          <w:rFonts w:ascii="Verdana" w:hAnsi="Verdana" w:eastAsia="Verdana"/>
          <w:color w:val="000000"/>
          <w:spacing w:val="4"/>
          <w:w w:val="100"/>
          <w:sz w:val="17"/>
          <w:vertAlign w:val="baseline"/>
          <w:lang w:val="fr-FR"/>
        </w:rPr>
        <w:t xml:space="preserve">signature (peinte, sur l'oeuvre)</w:t>
      </w:r>
    </w:p>
    <w:p>
      <w:pPr>
        <w:spacing w:before="0" w:after="0" w:line="216" w:lineRule="exact"/>
        <w:ind w:right="0" w:left="0" w:firstLine="0"/>
        <w:jc w:val="left"/>
        <w:textAlignment w:val="baseline"/>
        <w:rPr>
          <w:rFonts w:ascii="Verdana" w:hAnsi="Verdana" w:eastAsia="Verdana"/>
          <w:b w:val="true"/>
          <w:color w:val="000000"/>
          <w:spacing w:val="5"/>
          <w:w w:val="100"/>
          <w:sz w:val="17"/>
          <w:vertAlign w:val="baseline"/>
          <w:lang w:val="fr-FR"/>
        </w:rPr>
      </w:pPr>
      <w:r>
        <w:rPr>
          <w:rFonts w:ascii="Verdana" w:hAnsi="Verdana" w:eastAsia="Verdana"/>
          <w:b w:val="true"/>
          <w:color w:val="000000"/>
          <w:spacing w:val="5"/>
          <w:w w:val="100"/>
          <w:sz w:val="17"/>
          <w:vertAlign w:val="baseline"/>
          <w:lang w:val="fr-FR"/>
        </w:rPr>
        <w:t xml:space="preserve">Précision inscription : </w:t>
      </w:r>
      <w:r>
        <w:rPr>
          <w:rFonts w:ascii="Verdana" w:hAnsi="Verdana" w:eastAsia="Verdana"/>
          <w:color w:val="000000"/>
          <w:spacing w:val="5"/>
          <w:w w:val="100"/>
          <w:sz w:val="17"/>
          <w:vertAlign w:val="baseline"/>
          <w:lang w:val="fr-FR"/>
        </w:rPr>
        <w:t xml:space="preserve">La signature se trouve sur la toile en bas à gauche : "Bido".</w:t>
      </w:r>
    </w:p>
    <w:p>
      <w:pPr>
        <w:spacing w:before="3" w:after="0" w:line="219" w:lineRule="exact"/>
        <w:ind w:right="0" w:left="0" w:firstLine="0"/>
        <w:jc w:val="left"/>
        <w:textAlignment w:val="baseline"/>
        <w:rPr>
          <w:rFonts w:ascii="Verdana" w:hAnsi="Verdana" w:eastAsia="Verdana"/>
          <w:b w:val="true"/>
          <w:color w:val="000000"/>
          <w:spacing w:val="5"/>
          <w:w w:val="100"/>
          <w:sz w:val="17"/>
          <w:vertAlign w:val="baseline"/>
          <w:lang w:val="fr-FR"/>
        </w:rPr>
      </w:pPr>
      <w:r>
        <w:rPr>
          <w:rFonts w:ascii="Verdana" w:hAnsi="Verdana" w:eastAsia="Verdana"/>
          <w:b w:val="true"/>
          <w:color w:val="000000"/>
          <w:spacing w:val="5"/>
          <w:w w:val="100"/>
          <w:sz w:val="17"/>
          <w:vertAlign w:val="baseline"/>
          <w:lang w:val="fr-FR"/>
        </w:rPr>
        <w:t xml:space="preserve">Auteur(s) : </w:t>
      </w:r>
      <w:r>
        <w:rPr>
          <w:rFonts w:ascii="Verdana" w:hAnsi="Verdana" w:eastAsia="Verdana"/>
          <w:color w:val="000000"/>
          <w:spacing w:val="5"/>
          <w:w w:val="100"/>
          <w:sz w:val="17"/>
          <w:vertAlign w:val="baseline"/>
          <w:lang w:val="fr-FR"/>
        </w:rPr>
        <w:t xml:space="preserve">Bido (peintre)</w:t>
      </w:r>
    </w:p>
    <w:p>
      <w:pPr>
        <w:spacing w:before="0" w:after="0" w:line="216" w:lineRule="exact"/>
        <w:ind w:right="0" w:left="0" w:firstLine="0"/>
        <w:jc w:val="left"/>
        <w:textAlignment w:val="baseline"/>
        <w:rPr>
          <w:rFonts w:ascii="Verdana" w:hAnsi="Verdana" w:eastAsia="Verdana"/>
          <w:b w:val="true"/>
          <w:color w:val="000000"/>
          <w:spacing w:val="5"/>
          <w:w w:val="100"/>
          <w:sz w:val="17"/>
          <w:vertAlign w:val="baseline"/>
          <w:lang w:val="fr-FR"/>
        </w:rPr>
      </w:pPr>
      <w:r>
        <w:rPr>
          <w:rFonts w:ascii="Verdana" w:hAnsi="Verdana" w:eastAsia="Verdana"/>
          <w:b w:val="true"/>
          <w:color w:val="000000"/>
          <w:spacing w:val="5"/>
          <w:w w:val="100"/>
          <w:sz w:val="17"/>
          <w:vertAlign w:val="baseline"/>
          <w:lang w:val="fr-FR"/>
        </w:rPr>
        <w:t xml:space="preserve">Siècle : </w:t>
      </w:r>
      <w:r>
        <w:rPr>
          <w:rFonts w:ascii="Verdana" w:hAnsi="Verdana" w:eastAsia="Verdana"/>
          <w:color w:val="000000"/>
          <w:spacing w:val="5"/>
          <w:w w:val="100"/>
          <w:sz w:val="17"/>
          <w:vertAlign w:val="baseline"/>
          <w:lang w:val="fr-FR"/>
        </w:rPr>
        <w:t xml:space="preserve">18e siècle ; 19e siècle</w:t>
      </w:r>
    </w:p>
    <w:p>
      <w:pPr>
        <w:spacing w:before="40" w:after="0" w:line="219" w:lineRule="exact"/>
        <w:ind w:right="72" w:left="0" w:firstLine="0"/>
        <w:jc w:val="left"/>
        <w:textAlignment w:val="baseline"/>
        <w:rPr>
          <w:rFonts w:ascii="Verdana" w:hAnsi="Verdana" w:eastAsia="Verdana"/>
          <w:b w:val="true"/>
          <w:color w:val="000000"/>
          <w:spacing w:val="6"/>
          <w:w w:val="100"/>
          <w:sz w:val="17"/>
          <w:vertAlign w:val="baseline"/>
          <w:lang w:val="fr-FR"/>
        </w:rPr>
      </w:pPr>
      <w:r>
        <w:rPr>
          <w:rFonts w:ascii="Verdana" w:hAnsi="Verdana" w:eastAsia="Verdana"/>
          <w:b w:val="true"/>
          <w:color w:val="000000"/>
          <w:spacing w:val="6"/>
          <w:w w:val="100"/>
          <w:sz w:val="17"/>
          <w:vertAlign w:val="baseline"/>
          <w:lang w:val="fr-FR"/>
        </w:rPr>
        <w:t xml:space="preserve">Historique : </w:t>
      </w:r>
      <w:r>
        <w:rPr>
          <w:rFonts w:ascii="Verdana" w:hAnsi="Verdana" w:eastAsia="Verdana"/>
          <w:color w:val="000000"/>
          <w:spacing w:val="6"/>
          <w:w w:val="100"/>
          <w:sz w:val="17"/>
          <w:vertAlign w:val="baseline"/>
          <w:lang w:val="fr-FR"/>
        </w:rPr>
        <w:t xml:space="preserve">Ce tableau est une huile sur toile représentant le jeune saint Jean-Baptiste, désignant l' agneau qui préfigure la Passion du Christ. La position du saint est très originale tout comme son geste désignant l'agneau. En effet, saint Jean-Baptiste est plutôt représenté baptisant le Christ ou alors figuré seul mais debout, à côté de l'animal. Le tableau est signé en bas à gauche "Bido" à l'encre doré. Ce nom de peintre n' a pu être identifié, il s' agit sans doute d' un peintre actif localement. L'utilisation de l'encre dorée pour signer est très courante au 18e siècle, en particulier dans le canton de Montgiscard, comme en témoignent les tableaux de Marguerite de Michel conservés dans l'église paroissiale de Montgiscard. C'est l'une des raisons, avec le traitement de la facture de la toile, qui permet de dater cette oeuvre vraisemblablement du 18e siècle. Le cadre ne paraît pas remonter cependant au-delà du 19e siècle.</w:t>
      </w:r>
    </w:p>
    <w:p>
      <w:pPr>
        <w:spacing w:before="0" w:after="0" w:line="216" w:lineRule="exact"/>
        <w:ind w:right="0" w:left="0" w:firstLine="0"/>
        <w:jc w:val="left"/>
        <w:textAlignment w:val="baseline"/>
        <w:rPr>
          <w:rFonts w:ascii="Verdana" w:hAnsi="Verdana" w:eastAsia="Verdana"/>
          <w:b w:val="true"/>
          <w:color w:val="000000"/>
          <w:spacing w:val="4"/>
          <w:w w:val="100"/>
          <w:sz w:val="17"/>
          <w:vertAlign w:val="baseline"/>
          <w:lang w:val="fr-FR"/>
        </w:rPr>
      </w:pPr>
      <w:r>
        <w:rPr>
          <w:rFonts w:ascii="Verdana" w:hAnsi="Verdana" w:eastAsia="Verdana"/>
          <w:b w:val="true"/>
          <w:color w:val="000000"/>
          <w:spacing w:val="4"/>
          <w:w w:val="100"/>
          <w:sz w:val="17"/>
          <w:vertAlign w:val="baseline"/>
          <w:lang w:val="fr-FR"/>
        </w:rPr>
        <w:t xml:space="preserve">Date protection : </w:t>
      </w:r>
      <w:r>
        <w:rPr>
          <w:rFonts w:ascii="Verdana" w:hAnsi="Verdana" w:eastAsia="Verdana"/>
          <w:color w:val="000000"/>
          <w:spacing w:val="4"/>
          <w:w w:val="100"/>
          <w:sz w:val="17"/>
          <w:vertAlign w:val="baseline"/>
          <w:lang w:val="fr-FR"/>
        </w:rPr>
        <w:t xml:space="preserve">oeuvre non protégée MH</w:t>
      </w:r>
    </w:p>
    <w:p>
      <w:pPr>
        <w:spacing w:before="2" w:after="0" w:line="219" w:lineRule="exact"/>
        <w:ind w:right="0" w:left="0" w:firstLine="0"/>
        <w:jc w:val="left"/>
        <w:textAlignment w:val="baseline"/>
        <w:rPr>
          <w:rFonts w:ascii="Verdana" w:hAnsi="Verdana" w:eastAsia="Verdana"/>
          <w:b w:val="true"/>
          <w:color w:val="000000"/>
          <w:spacing w:val="5"/>
          <w:w w:val="100"/>
          <w:sz w:val="17"/>
          <w:vertAlign w:val="baseline"/>
          <w:lang w:val="fr-FR"/>
        </w:rPr>
      </w:pPr>
      <w:r>
        <w:rPr>
          <w:rFonts w:ascii="Verdana" w:hAnsi="Verdana" w:eastAsia="Verdana"/>
          <w:b w:val="true"/>
          <w:color w:val="000000"/>
          <w:spacing w:val="5"/>
          <w:w w:val="100"/>
          <w:sz w:val="17"/>
          <w:vertAlign w:val="baseline"/>
          <w:lang w:val="fr-FR"/>
        </w:rPr>
        <w:t xml:space="preserve">Statut juridique : </w:t>
      </w:r>
      <w:r>
        <w:rPr>
          <w:rFonts w:ascii="Verdana" w:hAnsi="Verdana" w:eastAsia="Verdana"/>
          <w:color w:val="000000"/>
          <w:spacing w:val="5"/>
          <w:w w:val="100"/>
          <w:sz w:val="17"/>
          <w:vertAlign w:val="baseline"/>
          <w:lang w:val="fr-FR"/>
        </w:rPr>
        <w:t xml:space="preserve">propriété de la commune</w:t>
      </w:r>
    </w:p>
    <w:p>
      <w:pPr>
        <w:spacing w:before="218" w:after="0" w:line="219" w:lineRule="exact"/>
        <w:ind w:right="0" w:left="0" w:firstLine="0"/>
        <w:jc w:val="left"/>
        <w:textAlignment w:val="baseline"/>
        <w:rPr>
          <w:rFonts w:ascii="Verdana" w:hAnsi="Verdana" w:eastAsia="Verdana"/>
          <w:color w:val="000000"/>
          <w:spacing w:val="5"/>
          <w:w w:val="100"/>
          <w:sz w:val="17"/>
          <w:vertAlign w:val="baseline"/>
          <w:lang w:val="fr-FR"/>
        </w:rPr>
      </w:pPr>
      <w:r>
        <w:rPr>
          <w:rFonts w:ascii="Verdana" w:hAnsi="Verdana" w:eastAsia="Verdana"/>
          <w:color w:val="000000"/>
          <w:spacing w:val="5"/>
          <w:w w:val="100"/>
          <w:sz w:val="17"/>
          <w:vertAlign w:val="baseline"/>
          <w:lang w:val="fr-FR"/>
        </w:rPr>
        <w:t xml:space="preserve">3) Paire de tableaux représentant Saint Charles Borromée et Saint François de Sales</w:t>
      </w:r>
    </w:p>
    <w:p>
      <w:pPr>
        <w:spacing w:before="201" w:after="0" w:line="226" w:lineRule="exact"/>
        <w:ind w:right="144" w:left="0" w:firstLine="0"/>
        <w:jc w:val="left"/>
        <w:textAlignment w:val="baseline"/>
        <w:rPr>
          <w:rFonts w:ascii="Verdana" w:hAnsi="Verdana" w:eastAsia="Verdana"/>
          <w:b w:val="true"/>
          <w:color w:val="000000"/>
          <w:spacing w:val="0"/>
          <w:w w:val="100"/>
          <w:sz w:val="17"/>
          <w:vertAlign w:val="baseline"/>
          <w:lang w:val="fr-FR"/>
        </w:rPr>
      </w:pPr>
      <w:r>
        <w:rPr>
          <w:rFonts w:ascii="Verdana" w:hAnsi="Verdana" w:eastAsia="Verdana"/>
          <w:b w:val="true"/>
          <w:color w:val="000000"/>
          <w:spacing w:val="0"/>
          <w:w w:val="100"/>
          <w:sz w:val="17"/>
          <w:vertAlign w:val="baseline"/>
          <w:lang w:val="fr-FR"/>
        </w:rPr>
        <w:t xml:space="preserve">Matériaux : </w:t>
      </w:r>
      <w:r>
        <w:rPr>
          <w:rFonts w:ascii="Verdana" w:hAnsi="Verdana" w:eastAsia="Verdana"/>
          <w:color w:val="000000"/>
          <w:spacing w:val="0"/>
          <w:w w:val="100"/>
          <w:sz w:val="17"/>
          <w:vertAlign w:val="baseline"/>
          <w:lang w:val="fr-FR"/>
        </w:rPr>
        <w:t xml:space="preserve">toile (en un seul lé, support) : peinture à l'huile, doré ; bois (en plusieurs éléments) : taillé, mouluré, doré à la feuille, sur apprêt (plâtre)</w:t>
      </w:r>
    </w:p>
    <w:p>
      <w:pPr>
        <w:spacing w:before="0" w:after="0" w:line="210" w:lineRule="exact"/>
        <w:ind w:right="0" w:left="0" w:firstLine="0"/>
        <w:jc w:val="left"/>
        <w:textAlignment w:val="baseline"/>
        <w:rPr>
          <w:rFonts w:ascii="Verdana" w:hAnsi="Verdana" w:eastAsia="Verdana"/>
          <w:color w:val="000000"/>
          <w:spacing w:val="0"/>
          <w:w w:val="100"/>
          <w:sz w:val="17"/>
          <w:vertAlign w:val="baseline"/>
          <w:lang w:val="fr-FR"/>
        </w:rPr>
      </w:pPr>
      <w:r>
        <w:rPr>
          <w:rFonts w:ascii="Verdana" w:hAnsi="Verdana" w:eastAsia="Verdana"/>
          <w:color w:val="000000"/>
          <w:spacing w:val="0"/>
          <w:w w:val="100"/>
          <w:sz w:val="17"/>
          <w:vertAlign w:val="baseline"/>
          <w:lang w:val="fr-FR"/>
        </w:rPr>
        <w:t xml:space="preserve">Structure : circulaire</w:t>
      </w:r>
    </w:p>
    <w:p>
      <w:pPr>
        <w:spacing w:before="10" w:after="0" w:line="219" w:lineRule="exact"/>
        <w:ind w:right="72" w:left="0" w:firstLine="0"/>
        <w:jc w:val="left"/>
        <w:textAlignment w:val="baseline"/>
        <w:rPr>
          <w:rFonts w:ascii="Verdana" w:hAnsi="Verdana" w:eastAsia="Verdana"/>
          <w:b w:val="true"/>
          <w:color w:val="000000"/>
          <w:spacing w:val="5"/>
          <w:w w:val="100"/>
          <w:sz w:val="17"/>
          <w:vertAlign w:val="baseline"/>
          <w:lang w:val="fr-FR"/>
        </w:rPr>
      </w:pPr>
      <w:r>
        <w:rPr>
          <w:rFonts w:ascii="Verdana" w:hAnsi="Verdana" w:eastAsia="Verdana"/>
          <w:b w:val="true"/>
          <w:color w:val="000000"/>
          <w:spacing w:val="5"/>
          <w:w w:val="100"/>
          <w:sz w:val="17"/>
          <w:vertAlign w:val="baseline"/>
          <w:lang w:val="fr-FR"/>
        </w:rPr>
        <w:t xml:space="preserve">Description : </w:t>
      </w:r>
      <w:r>
        <w:rPr>
          <w:rFonts w:ascii="Verdana" w:hAnsi="Verdana" w:eastAsia="Verdana"/>
          <w:color w:val="000000"/>
          <w:spacing w:val="5"/>
          <w:w w:val="100"/>
          <w:sz w:val="17"/>
          <w:vertAlign w:val="baseline"/>
          <w:lang w:val="fr-FR"/>
        </w:rPr>
        <w:t xml:space="preserve">Cette paire de tableau est constitué de 2 supports de toile en un seul lé, peint à l' huile. Le fond est doré à l' imitation des fonds d'or. Chaque support est de forme circulaire. Les cadres, également de forme circulaire, sont en bois taillé et mouluré, doré à la feuille sur un apprêt de plâtre de couleur rouge. Une inscription peinte en lettres de couleur rouge identifiant les deux personnages encadre les figures.</w:t>
      </w:r>
    </w:p>
    <w:p>
      <w:pPr>
        <w:spacing w:before="0" w:after="0" w:line="206" w:lineRule="exact"/>
        <w:ind w:right="0" w:left="0" w:firstLine="0"/>
        <w:jc w:val="left"/>
        <w:textAlignment w:val="baseline"/>
        <w:rPr>
          <w:rFonts w:ascii="Verdana" w:hAnsi="Verdana" w:eastAsia="Verdana"/>
          <w:color w:val="000000"/>
          <w:spacing w:val="0"/>
          <w:w w:val="100"/>
          <w:sz w:val="17"/>
          <w:vertAlign w:val="baseline"/>
          <w:lang w:val="fr-FR"/>
        </w:rPr>
      </w:pPr>
      <w:r>
        <w:rPr>
          <w:rFonts w:ascii="Verdana" w:hAnsi="Verdana" w:eastAsia="Verdana"/>
          <w:color w:val="000000"/>
          <w:spacing w:val="0"/>
          <w:w w:val="100"/>
          <w:sz w:val="17"/>
          <w:vertAlign w:val="baseline"/>
          <w:lang w:val="fr-FR"/>
        </w:rPr>
        <w:t xml:space="preserve">Dimensions : h = 64,5 ; la = 53</w:t>
      </w:r>
    </w:p>
    <w:p>
      <w:pPr>
        <w:spacing w:before="0" w:after="0" w:line="224" w:lineRule="exact"/>
        <w:ind w:right="288" w:left="0" w:firstLine="0"/>
        <w:jc w:val="left"/>
        <w:textAlignment w:val="baseline"/>
        <w:rPr>
          <w:rFonts w:ascii="Verdana" w:hAnsi="Verdana" w:eastAsia="Verdana"/>
          <w:b w:val="true"/>
          <w:color w:val="000000"/>
          <w:spacing w:val="0"/>
          <w:w w:val="100"/>
          <w:sz w:val="17"/>
          <w:vertAlign w:val="baseline"/>
          <w:lang w:val="fr-FR"/>
        </w:rPr>
      </w:pPr>
      <w:r>
        <w:rPr>
          <w:rFonts w:ascii="Verdana" w:hAnsi="Verdana" w:eastAsia="Verdana"/>
          <w:b w:val="true"/>
          <w:color w:val="000000"/>
          <w:spacing w:val="0"/>
          <w:w w:val="100"/>
          <w:sz w:val="17"/>
          <w:vertAlign w:val="baseline"/>
          <w:lang w:val="fr-FR"/>
        </w:rPr>
        <w:t xml:space="preserve">Iconographie : </w:t>
      </w:r>
      <w:r>
        <w:rPr>
          <w:rFonts w:ascii="Verdana" w:hAnsi="Verdana" w:eastAsia="Verdana"/>
          <w:color w:val="000000"/>
          <w:spacing w:val="0"/>
          <w:w w:val="100"/>
          <w:sz w:val="17"/>
          <w:vertAlign w:val="baseline"/>
          <w:lang w:val="fr-FR"/>
        </w:rPr>
        <w:t xml:space="preserve">personnage historique (saint Charles Borromée : à mi-corps, de profil, cardinal, auréole, prière) ; personnage historique (saint François de Sales : à mi-corps, évêque, de trois-quarts, auréole, prière)</w:t>
      </w:r>
    </w:p>
    <w:p>
      <w:pPr>
        <w:spacing w:before="0" w:after="0" w:line="217" w:lineRule="exact"/>
        <w:ind w:right="72" w:left="0" w:firstLine="0"/>
        <w:jc w:val="left"/>
        <w:textAlignment w:val="baseline"/>
        <w:rPr>
          <w:rFonts w:ascii="Verdana" w:hAnsi="Verdana" w:eastAsia="Verdana"/>
          <w:b w:val="true"/>
          <w:color w:val="000000"/>
          <w:spacing w:val="3"/>
          <w:w w:val="100"/>
          <w:sz w:val="17"/>
          <w:vertAlign w:val="baseline"/>
          <w:lang w:val="fr-FR"/>
        </w:rPr>
      </w:pPr>
      <w:r>
        <w:rPr>
          <w:rFonts w:ascii="Verdana" w:hAnsi="Verdana" w:eastAsia="Verdana"/>
          <w:b w:val="true"/>
          <w:color w:val="000000"/>
          <w:spacing w:val="3"/>
          <w:w w:val="100"/>
          <w:sz w:val="17"/>
          <w:vertAlign w:val="baseline"/>
          <w:lang w:val="fr-FR"/>
        </w:rPr>
        <w:t xml:space="preserve">Précision représentation : </w:t>
      </w:r>
      <w:r>
        <w:rPr>
          <w:rFonts w:ascii="Verdana" w:hAnsi="Verdana" w:eastAsia="Verdana"/>
          <w:color w:val="000000"/>
          <w:spacing w:val="3"/>
          <w:w w:val="100"/>
          <w:sz w:val="17"/>
          <w:vertAlign w:val="baseline"/>
          <w:lang w:val="fr-FR"/>
        </w:rPr>
        <w:t xml:space="preserve">Le premier tableau représente le cardinal saint Charles Borromée à mi-corps et de profil. Il a sa main gauche repliée contre lui, ce qui lui permet de tenir une croix qu' il tient de sa main dextre. Il est figuré en prière, levant les yeux au ciel. L' autre tableau représente saint François de Sales en prière, les mains jointes et les yeux fermés. Vêtu de son costume d'évêque, il est également figuré à mi-corps et de trois-quarts. Les deux saints sont auréolés d'un cercle bleu entourant des rayons lumineux dorés.</w:t>
      </w:r>
    </w:p>
    <w:p>
      <w:pPr>
        <w:spacing w:before="0" w:after="0" w:line="206" w:lineRule="exact"/>
        <w:ind w:right="0" w:left="0" w:firstLine="0"/>
        <w:jc w:val="left"/>
        <w:textAlignment w:val="baseline"/>
        <w:rPr>
          <w:rFonts w:ascii="Verdana" w:hAnsi="Verdana" w:eastAsia="Verdana"/>
          <w:color w:val="000000"/>
          <w:spacing w:val="4"/>
          <w:w w:val="100"/>
          <w:sz w:val="17"/>
          <w:vertAlign w:val="baseline"/>
          <w:lang w:val="fr-FR"/>
        </w:rPr>
      </w:pPr>
      <w:r>
        <w:rPr>
          <w:rFonts w:ascii="Verdana" w:hAnsi="Verdana" w:eastAsia="Verdana"/>
          <w:color w:val="000000"/>
          <w:spacing w:val="4"/>
          <w:w w:val="100"/>
          <w:sz w:val="17"/>
          <w:vertAlign w:val="baseline"/>
          <w:lang w:val="fr-FR"/>
        </w:rPr>
        <w:t xml:space="preserve">Inscription : inscription concernant l'iconographie (peinte, sur l'oeuvre, latin)</w:t>
      </w:r>
    </w:p>
    <w:p>
      <w:pPr>
        <w:spacing w:before="1" w:after="0" w:line="219" w:lineRule="exact"/>
        <w:ind w:right="576" w:left="0" w:firstLine="0"/>
        <w:jc w:val="left"/>
        <w:textAlignment w:val="baseline"/>
        <w:rPr>
          <w:rFonts w:ascii="Verdana" w:hAnsi="Verdana" w:eastAsia="Verdana"/>
          <w:b w:val="true"/>
          <w:color w:val="000000"/>
          <w:spacing w:val="0"/>
          <w:w w:val="100"/>
          <w:sz w:val="17"/>
          <w:vertAlign w:val="baseline"/>
          <w:lang w:val="fr-FR"/>
        </w:rPr>
      </w:pPr>
      <w:r>
        <w:rPr>
          <w:rFonts w:ascii="Verdana" w:hAnsi="Verdana" w:eastAsia="Verdana"/>
          <w:b w:val="true"/>
          <w:color w:val="000000"/>
          <w:spacing w:val="0"/>
          <w:w w:val="100"/>
          <w:sz w:val="17"/>
          <w:vertAlign w:val="baseline"/>
          <w:lang w:val="fr-FR"/>
        </w:rPr>
        <w:t xml:space="preserve">Précision inscription : </w:t>
      </w:r>
      <w:r>
        <w:rPr>
          <w:rFonts w:ascii="Verdana" w:hAnsi="Verdana" w:eastAsia="Verdana"/>
          <w:color w:val="000000"/>
          <w:spacing w:val="0"/>
          <w:w w:val="100"/>
          <w:sz w:val="17"/>
          <w:vertAlign w:val="baseline"/>
          <w:lang w:val="fr-FR"/>
        </w:rPr>
        <w:t xml:space="preserve">Chaque figure comporte une inscription : "SANCTUS CAROLUS . B" ; "SANCTUS FRANCISCUS . S.", transcris : saint Charles Borromée, saint François de Sales. Auteur(s) : auteur inconnu</w:t>
      </w:r>
    </w:p>
    <w:p>
      <w:pPr>
        <w:spacing w:before="0" w:after="0" w:line="219" w:lineRule="exact"/>
        <w:ind w:right="0" w:left="0" w:firstLine="0"/>
        <w:jc w:val="left"/>
        <w:textAlignment w:val="baseline"/>
        <w:rPr>
          <w:rFonts w:ascii="Verdana" w:hAnsi="Verdana" w:eastAsia="Verdana"/>
          <w:b w:val="true"/>
          <w:color w:val="000000"/>
          <w:spacing w:val="4"/>
          <w:w w:val="100"/>
          <w:sz w:val="17"/>
          <w:vertAlign w:val="baseline"/>
          <w:lang w:val="fr-FR"/>
        </w:rPr>
      </w:pPr>
      <w:r>
        <w:rPr>
          <w:rFonts w:ascii="Verdana" w:hAnsi="Verdana" w:eastAsia="Verdana"/>
          <w:b w:val="true"/>
          <w:color w:val="000000"/>
          <w:spacing w:val="4"/>
          <w:w w:val="100"/>
          <w:sz w:val="17"/>
          <w:vertAlign w:val="baseline"/>
          <w:lang w:val="fr-FR"/>
        </w:rPr>
        <w:t xml:space="preserve">Siècle : </w:t>
      </w:r>
      <w:r>
        <w:rPr>
          <w:rFonts w:ascii="Verdana" w:hAnsi="Verdana" w:eastAsia="Verdana"/>
          <w:color w:val="000000"/>
          <w:spacing w:val="4"/>
          <w:w w:val="100"/>
          <w:sz w:val="17"/>
          <w:vertAlign w:val="baseline"/>
          <w:lang w:val="fr-FR"/>
        </w:rPr>
        <w:t xml:space="preserve">2e moitié 19e siècle</w:t>
      </w:r>
    </w:p>
    <w:p>
      <w:pPr>
        <w:spacing w:before="0" w:after="0" w:line="216" w:lineRule="exact"/>
        <w:ind w:right="72" w:left="0" w:firstLine="0"/>
        <w:jc w:val="left"/>
        <w:textAlignment w:val="baseline"/>
        <w:rPr>
          <w:rFonts w:ascii="Verdana" w:hAnsi="Verdana" w:eastAsia="Verdana"/>
          <w:b w:val="true"/>
          <w:color w:val="000000"/>
          <w:spacing w:val="6"/>
          <w:w w:val="100"/>
          <w:sz w:val="17"/>
          <w:vertAlign w:val="baseline"/>
          <w:lang w:val="fr-FR"/>
        </w:rPr>
      </w:pPr>
      <w:r>
        <w:rPr>
          <w:rFonts w:ascii="Verdana" w:hAnsi="Verdana" w:eastAsia="Verdana"/>
          <w:b w:val="true"/>
          <w:color w:val="000000"/>
          <w:spacing w:val="6"/>
          <w:w w:val="100"/>
          <w:sz w:val="17"/>
          <w:vertAlign w:val="baseline"/>
          <w:lang w:val="fr-FR"/>
        </w:rPr>
        <w:t xml:space="preserve">Historique : </w:t>
      </w:r>
      <w:r>
        <w:rPr>
          <w:rFonts w:ascii="Verdana" w:hAnsi="Verdana" w:eastAsia="Verdana"/>
          <w:color w:val="000000"/>
          <w:spacing w:val="6"/>
          <w:w w:val="100"/>
          <w:sz w:val="17"/>
          <w:vertAlign w:val="baseline"/>
          <w:lang w:val="fr-FR"/>
        </w:rPr>
        <w:t xml:space="preserve">Ces deux tableaux de plan circulaire forment une paire en pendant. Chaque oeuvre est constituée d' un seul support de toile peint à l' huile et doré à l' imitation des fonds d' or. Ils représentent deux personnages historiques, saint Charles Borromée et saint François de Sales. Le premier, né en 1538 et mort en 1584 était cardinal et archevêque de Milan. Il contribua à la réforme catholique en restaurant la discipline ecclésiastique par des visites pastorales régulières, la tenue de synodes, l'organisation de séminaires et l'enseignement du catéchisme. Il fut canonisé en 1593. Quant à saint François de Sales, né en 1567 et mort en 1622, il est nommé évêque de Genève, mais ne peut y résider car la ville lui est interdite par les calvinistes. Véritable pasteur de son diocèse, il visite régulièrement ses églises et prêchent sans cesse. En 1610, il forme un ordre nouveau : la Visitation Sainte-Marie. Il est l'auteur de l'ouvrage "Introduction à la vie dévote". Cet ouvrage est un des premiers grands textes spirituels rédigé en français. François de Sales, qui correspondait parfaitement à l'idée que la Contre-réforme se faisait de l' évêque, fut canonisé en 1665. Ce n'est donc pas par hasard, si ces deux tableaux, probablement réalisés par le même artiste, ont été peints de la même manière et présentent les mêmes caractéristiques techniques et stylistiques. Elles semblent vouloir imiter la technique de la peinture murale. Les deux personnages sont liés par leur forte dévotion à l'Eglise et sont reconnus en tant que restaurateur de la discipline ecclésiastique, et c' est ce qu' a voulu montrer le peintre. Ces deux oeuvres datent vraisemblablement de la 2e moitié du 19e siècle.</w:t>
      </w:r>
    </w:p>
    <w:p>
      <w:pPr>
        <w:spacing w:before="0" w:after="0" w:line="210" w:lineRule="exact"/>
        <w:ind w:right="0" w:left="0" w:firstLine="0"/>
        <w:jc w:val="left"/>
        <w:textAlignment w:val="baseline"/>
        <w:rPr>
          <w:rFonts w:ascii="Verdana" w:hAnsi="Verdana" w:eastAsia="Verdana"/>
          <w:b w:val="true"/>
          <w:color w:val="000000"/>
          <w:spacing w:val="4"/>
          <w:w w:val="100"/>
          <w:sz w:val="17"/>
          <w:vertAlign w:val="baseline"/>
          <w:lang w:val="fr-FR"/>
        </w:rPr>
      </w:pPr>
      <w:r>
        <w:rPr>
          <w:rFonts w:ascii="Verdana" w:hAnsi="Verdana" w:eastAsia="Verdana"/>
          <w:b w:val="true"/>
          <w:color w:val="000000"/>
          <w:spacing w:val="4"/>
          <w:w w:val="100"/>
          <w:sz w:val="17"/>
          <w:vertAlign w:val="baseline"/>
          <w:lang w:val="fr-FR"/>
        </w:rPr>
        <w:t xml:space="preserve">Date protection : </w:t>
      </w:r>
      <w:r>
        <w:rPr>
          <w:rFonts w:ascii="Verdana" w:hAnsi="Verdana" w:eastAsia="Verdana"/>
          <w:color w:val="000000"/>
          <w:spacing w:val="4"/>
          <w:w w:val="100"/>
          <w:sz w:val="17"/>
          <w:vertAlign w:val="baseline"/>
          <w:lang w:val="fr-FR"/>
        </w:rPr>
        <w:t xml:space="preserve">oeuvre non protégée MH</w:t>
      </w:r>
    </w:p>
    <w:p>
      <w:pPr>
        <w:spacing w:before="0" w:after="0" w:line="216" w:lineRule="exact"/>
        <w:ind w:right="0" w:left="0" w:firstLine="0"/>
        <w:jc w:val="left"/>
        <w:textAlignment w:val="baseline"/>
        <w:rPr>
          <w:rFonts w:ascii="Verdana" w:hAnsi="Verdana" w:eastAsia="Verdana"/>
          <w:b w:val="true"/>
          <w:color w:val="000000"/>
          <w:spacing w:val="5"/>
          <w:w w:val="100"/>
          <w:sz w:val="17"/>
          <w:vertAlign w:val="baseline"/>
          <w:lang w:val="fr-FR"/>
        </w:rPr>
      </w:pPr>
      <w:r>
        <w:rPr>
          <w:rFonts w:ascii="Verdana" w:hAnsi="Verdana" w:eastAsia="Verdana"/>
          <w:b w:val="true"/>
          <w:color w:val="000000"/>
          <w:spacing w:val="5"/>
          <w:w w:val="100"/>
          <w:sz w:val="17"/>
          <w:vertAlign w:val="baseline"/>
          <w:lang w:val="fr-FR"/>
        </w:rPr>
        <w:t xml:space="preserve">Statut juridique : </w:t>
      </w:r>
      <w:r>
        <w:rPr>
          <w:rFonts w:ascii="Verdana" w:hAnsi="Verdana" w:eastAsia="Verdana"/>
          <w:color w:val="000000"/>
          <w:spacing w:val="5"/>
          <w:w w:val="100"/>
          <w:sz w:val="17"/>
          <w:vertAlign w:val="baseline"/>
          <w:lang w:val="fr-FR"/>
        </w:rPr>
        <w:t xml:space="preserve">propriété de la commune</w:t>
      </w:r>
    </w:p>
    <w:sectPr>
      <w:type w:val="nextPage"/>
      <w:pgSz w:w="11597" w:h="16450" w:orient="portrait"/>
      <w:pgMar w:bottom="874" w:top="1400" w:right="1297" w:left="1200" w:header="720" w:footer="720"/>
      <w:titlePg w:val="false"/>
      <w:textDirection w:val="lrTb"/>
    </w:sectPr>
  </w:body>
</w:document>
</file>

<file path=word/fontTable.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Verdana">
    <w:charset w:val="00"/>
    <w:pitch w:val="variable"/>
    <w:family w:val="swiss"/>
    <w:panose1 w:val="02020603050405020304"/>
  </w:font>
</w:fonts>
</file>

<file path=word/footnotes.xml><?xml version="1.0" encoding="utf-8"?>
<w:footnot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otnote w:type="separator" w:id="-1">
    <w:p/>
  </w:footnote>
  <w:footnote w:type="continuationSeparator" w:id="0">
    <w:p>
      <w:r>
        <w:continuationSeparator/>
      </w:r>
    </w:p>
  </w:footnote>
</w:footnotes>
</file>

<file path=word/numbering.xml><?xml version="1.0" encoding="utf-8"?>
<w:numbering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file>

<file path=word/settings.xml><?xml version="1.0" encoding="utf-8"?>
<w:setting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compat>
    <w:shapeLayoutLikeWW8/>
    <w:doNotUseHTMLParagraphAutoSpacing/>
    <w:applyBreakingRules/>
    <w:useFELayout/>
    <w:doNotUseIndentAsNumberingTabStop/>
    <w:compatSetting w:name="compatibilityMode" w:uri="http://schemas.microsoft.com/office/word" w:val="15"/>
  </w:compat>
  <w:footnotePr>
    <w:footnote w:id="-1"/>
    <w:footnote w:id="0"/>
  </w:footnotePr>
</w:settings>
</file>

<file path=word/styles.xml><?xml version="1.0" encoding="utf-8"?>
<w:styl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docDefaults>
    <w:rPrDefault>
      <w:rPr>
        <w:rFonts w:ascii="Times New Roman" w:hAnsi="Times New Roman" w:eastAsia="PMingLiU" w:cs="Times New Roman"/>
        <w:sz w:val="22"/>
        <w:szCs w:val="22"/>
        <w:lang w:val="en-US" w:eastAsia="en-US" w:bidi="ar-SA"/>
      </w:rPr>
    </w:rPrDefault>
    <w:pPrDefault/>
  </w:docDefaults>
  <w:style w:styleId="DefaultParagraphFont" w:type="paragraph" w:default="1">
    <w:name w:val="Normal"/>
  </w:style>
  <w:style w:styleId="DefaultParagraphFont" w:type="character" w:default="1">
    <w:name w:val="Default Paragraph Font"/>
  </w:style>
</w:styles>
</file>

<file path=word/_rels/document.xml.rels><Relationships xmlns="http://schemas.openxmlformats.org/package/2006/relationships"><Relationship Id="nId" Type="http://schemas.openxmlformats.org/officeDocument/2006/relationships/numbering" Target="numbering.xml"/><Relationship Id="fId" Type="http://schemas.openxmlformats.org/wordprocessingml/2006/fontTable" Target="fontTable.xml"/><Relationship Id="styleId" Type="http://schemas.openxmlformats.org/officeDocument/2006/relationships/styles" Target="styles.xml"/><Relationship Id="settingId" Type="http://schemas.openxmlformats.org/officeDocument/2006/relationships/settings" Target="settings.xml"/><Relationship Id="footnotesId" Type="http://schemas.openxmlformats.org/officeDocument/2006/relationships/footnotes" Target="footnotes.xml"/></Relationships>
</file>

<file path=docProps/app.xml><?xml version="1.0" encoding="utf-8"?>
<Properti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xmlns="http://schemas.openxmlformats.org/officeDocument/2006/extended-properties"/>
</file>

<file path=docProps/core.xml><?xml version="1.0" encoding="utf-8"?>
<cp:coreProperties xmlns:dcterms="http://purl.org/dc/terms/" xmlns:xsi="http://www.w3.org/2001/XMLSchema-instance"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dcterms:created xsi:type="dcterms:W3CDTF">2025-10-06T11:06:36Z</dcterms:created>
  <dcterms:modified xsi:type="dcterms:W3CDTF">2025-10-06T11:06:36Z</dcterms:modified>
</cp:coreProperties>
</file>